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2CAACA2B" w:rsidR="00F3668C" w:rsidRPr="00B56577" w:rsidRDefault="00C17005" w:rsidP="009E63EB">
            <w:pPr>
              <w:pStyle w:val="BodyTextBold"/>
              <w:rPr>
                <w:rFonts w:ascii="Lato" w:hAnsi="Lato"/>
                <w:b w:val="0"/>
              </w:rPr>
            </w:pPr>
            <w:r>
              <w:rPr>
                <w:rFonts w:ascii="Lato" w:hAnsi="Lato"/>
                <w:b w:val="0"/>
              </w:rPr>
              <w:t>Hildebrand Technology Ltd (PLK001)</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6DEBBD5B" w:rsidR="0052508C" w:rsidRPr="00B56577" w:rsidRDefault="00C17005" w:rsidP="009E63EB">
            <w:pPr>
              <w:pStyle w:val="BodyTextBold"/>
              <w:rPr>
                <w:rFonts w:ascii="Lato" w:hAnsi="Lato"/>
                <w:b w:val="0"/>
              </w:rPr>
            </w:pPr>
            <w:r>
              <w:rPr>
                <w:rFonts w:ascii="Lato" w:hAnsi="Lato"/>
                <w:b w:val="0"/>
              </w:rPr>
              <w:t>Jane Wilson</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11304704" w:rsidR="0052508C" w:rsidRPr="00B56577" w:rsidRDefault="00C17005" w:rsidP="009E63EB">
            <w:pPr>
              <w:pStyle w:val="BodyTextBold"/>
              <w:rPr>
                <w:rFonts w:ascii="Lato" w:hAnsi="Lato"/>
                <w:b w:val="0"/>
              </w:rPr>
            </w:pPr>
            <w:r>
              <w:rPr>
                <w:rFonts w:ascii="Lato" w:hAnsi="Lato"/>
                <w:b w:val="0"/>
              </w:rPr>
              <w:t>jane.wilson@hildebrand.co.uk</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07A46ED0" w:rsidR="0052508C" w:rsidRPr="00B56577" w:rsidRDefault="00C17005" w:rsidP="009E63EB">
            <w:pPr>
              <w:pStyle w:val="BodyTextBold"/>
              <w:rPr>
                <w:rFonts w:ascii="Lato" w:hAnsi="Lato"/>
                <w:b w:val="0"/>
              </w:rPr>
            </w:pPr>
            <w:r>
              <w:rPr>
                <w:rFonts w:ascii="Lato" w:hAnsi="Lato"/>
                <w:b w:val="0"/>
              </w:rPr>
              <w:t>07739 74 79 72</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6404"/>
        <w:gridCol w:w="6515"/>
      </w:tblGrid>
      <w:tr w:rsidR="00A1155F" w:rsidRPr="00B56577" w14:paraId="3E2A3BAD" w14:textId="77777777" w:rsidTr="001336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1155F" w:rsidRPr="00B56577" w14:paraId="72511565" w14:textId="77777777" w:rsidTr="00133633">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0" w:type="auto"/>
            <w:vAlign w:val="center"/>
          </w:tcPr>
          <w:p w14:paraId="6647FA10" w14:textId="1E14C936" w:rsidR="00312F3A" w:rsidRPr="00B56577" w:rsidRDefault="00FB006D"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view</w:t>
            </w:r>
          </w:p>
        </w:tc>
      </w:tr>
      <w:tr w:rsidR="00A1155F" w:rsidRPr="00B56577" w14:paraId="1746CC52" w14:textId="2BBE4DE6"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0" w:type="auto"/>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0" w:type="auto"/>
            <w:vAlign w:val="center"/>
          </w:tcPr>
          <w:p w14:paraId="3EBF2CF3" w14:textId="519B7D9E" w:rsidR="00312F3A" w:rsidRPr="00B56577" w:rsidRDefault="00FB006D"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view</w:t>
            </w:r>
          </w:p>
        </w:tc>
      </w:tr>
      <w:tr w:rsidR="00A1155F" w:rsidRPr="00B56577" w14:paraId="4DEEDB5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Q3</w:t>
            </w:r>
          </w:p>
        </w:tc>
        <w:tc>
          <w:tcPr>
            <w:tcW w:w="0" w:type="auto"/>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0" w:type="auto"/>
            <w:vAlign w:val="center"/>
          </w:tcPr>
          <w:p w14:paraId="0B516DD2" w14:textId="07276A4A" w:rsidR="00CC4CD9" w:rsidRPr="00B56577" w:rsidRDefault="00FB006D"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view</w:t>
            </w:r>
          </w:p>
        </w:tc>
      </w:tr>
      <w:tr w:rsidR="00A1155F" w:rsidRPr="00B56577" w14:paraId="56212A37"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Q4</w:t>
            </w:r>
          </w:p>
        </w:tc>
        <w:tc>
          <w:tcPr>
            <w:tcW w:w="0" w:type="auto"/>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0" w:type="auto"/>
            <w:vAlign w:val="center"/>
          </w:tcPr>
          <w:p w14:paraId="40C5B04F" w14:textId="77777777" w:rsidR="009053AC" w:rsidRDefault="009053AC"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000000"/>
                <w:szCs w:val="22"/>
              </w:rPr>
            </w:pPr>
            <w:proofErr w:type="gramStart"/>
            <w:r w:rsidRPr="009053AC">
              <w:rPr>
                <w:rFonts w:ascii="Lato" w:hAnsi="Lato"/>
              </w:rPr>
              <w:t>No</w:t>
            </w:r>
            <w:proofErr w:type="gramEnd"/>
            <w:r>
              <w:rPr>
                <w:rFonts w:ascii="Lato" w:hAnsi="Lato"/>
              </w:rPr>
              <w:t xml:space="preserve"> we do not agree with the rationale and scope for introducing charges for OUs. </w:t>
            </w:r>
            <w:r w:rsidRPr="009053AC">
              <w:rPr>
                <w:rFonts w:ascii="Lato" w:hAnsi="Lato"/>
                <w:szCs w:val="22"/>
              </w:rPr>
              <w:t xml:space="preserve">Hildebrand take that view that all consumers should pay just once for their DCC data services. </w:t>
            </w:r>
            <w:r w:rsidRPr="009053AC">
              <w:rPr>
                <w:rFonts w:ascii="Lato" w:hAnsi="Lato"/>
                <w:color w:val="000000"/>
                <w:szCs w:val="22"/>
              </w:rPr>
              <w:t xml:space="preserve">The fact that only suppliers currently contribute to DCC costs is because they are the only </w:t>
            </w:r>
            <w:r>
              <w:rPr>
                <w:rFonts w:ascii="Lato" w:hAnsi="Lato"/>
                <w:color w:val="000000"/>
                <w:szCs w:val="22"/>
              </w:rPr>
              <w:t>entity</w:t>
            </w:r>
            <w:r w:rsidRPr="009053AC">
              <w:rPr>
                <w:rFonts w:ascii="Lato" w:hAnsi="Lato"/>
                <w:color w:val="000000"/>
                <w:szCs w:val="22"/>
              </w:rPr>
              <w:t xml:space="preserve"> </w:t>
            </w:r>
            <w:r>
              <w:rPr>
                <w:rFonts w:ascii="Lato" w:hAnsi="Lato"/>
                <w:color w:val="000000"/>
                <w:szCs w:val="22"/>
              </w:rPr>
              <w:t>that</w:t>
            </w:r>
            <w:r w:rsidRPr="009053AC">
              <w:rPr>
                <w:rFonts w:ascii="Lato" w:hAnsi="Lato"/>
                <w:color w:val="000000"/>
                <w:szCs w:val="22"/>
              </w:rPr>
              <w:t xml:space="preserve"> collect</w:t>
            </w:r>
            <w:r>
              <w:rPr>
                <w:rFonts w:ascii="Lato" w:hAnsi="Lato"/>
                <w:color w:val="000000"/>
                <w:szCs w:val="22"/>
              </w:rPr>
              <w:t>s</w:t>
            </w:r>
            <w:r w:rsidRPr="009053AC">
              <w:rPr>
                <w:rFonts w:ascii="Lato" w:hAnsi="Lato"/>
                <w:color w:val="000000"/>
                <w:szCs w:val="22"/>
              </w:rPr>
              <w:t xml:space="preserve"> any money directly from all consumers. The reality is that it is consumers who pay, the supplier merely acts as a tax collector in the same way they collect the standing charge and VAT. Perhaps it should be shown separately as 'DCC cost' on a bill. All consumers pay, once per fuel. </w:t>
            </w:r>
          </w:p>
          <w:p w14:paraId="7BDD0C2F" w14:textId="0AEB30DA" w:rsidR="009E4EF9" w:rsidRDefault="009E4EF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000000"/>
                <w:szCs w:val="22"/>
              </w:rPr>
            </w:pPr>
            <w:r>
              <w:rPr>
                <w:rFonts w:ascii="Lato" w:hAnsi="Lato"/>
                <w:color w:val="000000"/>
                <w:szCs w:val="22"/>
              </w:rPr>
              <w:t>The proposal risks stifling</w:t>
            </w:r>
            <w:r w:rsidR="009053AC" w:rsidRPr="009053AC">
              <w:rPr>
                <w:rFonts w:ascii="Lato" w:hAnsi="Lato"/>
                <w:color w:val="000000"/>
                <w:szCs w:val="22"/>
              </w:rPr>
              <w:t xml:space="preserve"> academic research, innovation, energy saving, demand shifting and the like, all of which contribute to reducing energy costs overall for everyone</w:t>
            </w:r>
            <w:r>
              <w:rPr>
                <w:rFonts w:ascii="Lato" w:hAnsi="Lato"/>
                <w:color w:val="000000"/>
                <w:szCs w:val="22"/>
              </w:rPr>
              <w:t xml:space="preserve">, by </w:t>
            </w:r>
            <w:r w:rsidR="009053AC" w:rsidRPr="009053AC">
              <w:rPr>
                <w:rFonts w:ascii="Lato" w:hAnsi="Lato"/>
                <w:color w:val="000000"/>
                <w:szCs w:val="22"/>
              </w:rPr>
              <w:t>mak</w:t>
            </w:r>
            <w:r>
              <w:rPr>
                <w:rFonts w:ascii="Lato" w:hAnsi="Lato"/>
                <w:color w:val="000000"/>
                <w:szCs w:val="22"/>
              </w:rPr>
              <w:t>ing</w:t>
            </w:r>
            <w:r w:rsidR="009053AC" w:rsidRPr="009053AC">
              <w:rPr>
                <w:rFonts w:ascii="Lato" w:hAnsi="Lato"/>
                <w:color w:val="000000"/>
                <w:szCs w:val="22"/>
              </w:rPr>
              <w:t xml:space="preserve"> the</w:t>
            </w:r>
            <w:r w:rsidR="00C71C35">
              <w:rPr>
                <w:rFonts w:ascii="Lato" w:hAnsi="Lato"/>
                <w:color w:val="000000"/>
                <w:szCs w:val="22"/>
              </w:rPr>
              <w:t xml:space="preserve"> larger</w:t>
            </w:r>
            <w:r w:rsidR="009053AC" w:rsidRPr="009053AC">
              <w:rPr>
                <w:rFonts w:ascii="Lato" w:hAnsi="Lato"/>
                <w:color w:val="000000"/>
                <w:szCs w:val="22"/>
              </w:rPr>
              <w:t xml:space="preserve"> OUs who support </w:t>
            </w:r>
            <w:r>
              <w:rPr>
                <w:rFonts w:ascii="Lato" w:hAnsi="Lato"/>
                <w:color w:val="000000"/>
                <w:szCs w:val="22"/>
              </w:rPr>
              <w:t xml:space="preserve">the data retrieval that underpins these </w:t>
            </w:r>
            <w:r w:rsidR="00807A80">
              <w:rPr>
                <w:rFonts w:ascii="Lato" w:hAnsi="Lato"/>
                <w:color w:val="000000"/>
                <w:szCs w:val="22"/>
              </w:rPr>
              <w:t>activities</w:t>
            </w:r>
            <w:r w:rsidRPr="009053AC">
              <w:rPr>
                <w:rFonts w:ascii="Lato" w:hAnsi="Lato"/>
                <w:color w:val="000000"/>
                <w:szCs w:val="22"/>
              </w:rPr>
              <w:t xml:space="preserve"> </w:t>
            </w:r>
            <w:r w:rsidR="009053AC" w:rsidRPr="009053AC">
              <w:rPr>
                <w:rFonts w:ascii="Lato" w:hAnsi="Lato"/>
                <w:color w:val="000000"/>
                <w:szCs w:val="22"/>
              </w:rPr>
              <w:t>pay</w:t>
            </w:r>
            <w:r>
              <w:rPr>
                <w:rFonts w:ascii="Lato" w:hAnsi="Lato"/>
                <w:color w:val="000000"/>
                <w:szCs w:val="22"/>
              </w:rPr>
              <w:t>.</w:t>
            </w:r>
            <w:r w:rsidR="009053AC" w:rsidRPr="009053AC">
              <w:rPr>
                <w:rFonts w:ascii="Lato" w:hAnsi="Lato"/>
                <w:color w:val="000000"/>
                <w:szCs w:val="22"/>
              </w:rPr>
              <w:t xml:space="preserve"> </w:t>
            </w:r>
            <w:r>
              <w:rPr>
                <w:rFonts w:ascii="Lato" w:hAnsi="Lato"/>
                <w:color w:val="000000"/>
                <w:szCs w:val="22"/>
              </w:rPr>
              <w:t>For the record,</w:t>
            </w:r>
            <w:r w:rsidR="009053AC">
              <w:rPr>
                <w:rFonts w:ascii="Lato" w:hAnsi="Lato"/>
                <w:color w:val="000000"/>
                <w:szCs w:val="22"/>
              </w:rPr>
              <w:t xml:space="preserve"> the n</w:t>
            </w:r>
            <w:r w:rsidR="009053AC" w:rsidRPr="009053AC">
              <w:rPr>
                <w:rFonts w:ascii="Lato" w:hAnsi="Lato"/>
                <w:color w:val="000000"/>
                <w:szCs w:val="22"/>
              </w:rPr>
              <w:t>umber of SRs submitted per OU does not translate to the service being a profitable one</w:t>
            </w:r>
            <w:r w:rsidR="009053AC">
              <w:rPr>
                <w:rFonts w:ascii="Lato" w:hAnsi="Lato"/>
                <w:color w:val="000000"/>
                <w:szCs w:val="22"/>
              </w:rPr>
              <w:t>; Hildebrand's paying customers aren't charged per SR submitted by Hildebrand to retrieve the energy consumers' data.</w:t>
            </w:r>
          </w:p>
          <w:p w14:paraId="28C20F53" w14:textId="2A5C10F1" w:rsidR="009E4EF9" w:rsidRDefault="009E4EF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000000"/>
                <w:szCs w:val="22"/>
              </w:rPr>
            </w:pPr>
            <w:r>
              <w:rPr>
                <w:rFonts w:ascii="Lato" w:hAnsi="Lato"/>
                <w:color w:val="000000"/>
                <w:szCs w:val="22"/>
              </w:rPr>
              <w:t xml:space="preserve">Larger OUs are typically larger because they are supplying the data service to </w:t>
            </w:r>
            <w:proofErr w:type="gramStart"/>
            <w:r>
              <w:rPr>
                <w:rFonts w:ascii="Lato" w:hAnsi="Lato"/>
                <w:color w:val="000000"/>
                <w:szCs w:val="22"/>
              </w:rPr>
              <w:t>a number of</w:t>
            </w:r>
            <w:proofErr w:type="gramEnd"/>
            <w:r>
              <w:rPr>
                <w:rFonts w:ascii="Lato" w:hAnsi="Lato"/>
                <w:color w:val="000000"/>
                <w:szCs w:val="22"/>
              </w:rPr>
              <w:t xml:space="preserve"> parties who require data access. Making them pay risks disrupting the market as the larger OU would have to pass their costs to their customers where a small OU won't have the costs.</w:t>
            </w:r>
          </w:p>
          <w:p w14:paraId="76B64A1E" w14:textId="447CAF40" w:rsidR="00C71C35" w:rsidRPr="009053AC" w:rsidRDefault="009E4EF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color w:val="000000"/>
                <w:szCs w:val="22"/>
              </w:rPr>
            </w:pPr>
            <w:r>
              <w:rPr>
                <w:rFonts w:ascii="Lato" w:hAnsi="Lato"/>
                <w:color w:val="000000"/>
                <w:szCs w:val="22"/>
              </w:rPr>
              <w:t xml:space="preserve">The proposal </w:t>
            </w:r>
            <w:r w:rsidR="00C71C35">
              <w:rPr>
                <w:rFonts w:ascii="Lato" w:hAnsi="Lato"/>
                <w:color w:val="000000"/>
                <w:szCs w:val="22"/>
              </w:rPr>
              <w:t xml:space="preserve">also creates an unfair playing field between suppliers and OUs where suppliers have no transactional </w:t>
            </w:r>
            <w:proofErr w:type="gramStart"/>
            <w:r w:rsidR="00C71C35">
              <w:rPr>
                <w:rFonts w:ascii="Lato" w:hAnsi="Lato"/>
                <w:color w:val="000000"/>
                <w:szCs w:val="22"/>
              </w:rPr>
              <w:t>costs</w:t>
            </w:r>
            <w:proofErr w:type="gramEnd"/>
            <w:r w:rsidR="00C71C35">
              <w:rPr>
                <w:rFonts w:ascii="Lato" w:hAnsi="Lato"/>
                <w:color w:val="000000"/>
                <w:szCs w:val="22"/>
              </w:rPr>
              <w:t xml:space="preserve"> but OUs would.</w:t>
            </w:r>
          </w:p>
          <w:p w14:paraId="56640503" w14:textId="36E8657B" w:rsidR="009053AC" w:rsidRPr="00B56577" w:rsidRDefault="009053AC"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lastRenderedPageBreak/>
              <w:t xml:space="preserve">As a matter of interest, what is the expected cost to implement and cross charge </w:t>
            </w:r>
            <w:proofErr w:type="gramStart"/>
            <w:r>
              <w:rPr>
                <w:rFonts w:ascii="Lato" w:hAnsi="Lato"/>
              </w:rPr>
              <w:t>OU's</w:t>
            </w:r>
            <w:proofErr w:type="gramEnd"/>
            <w:r>
              <w:rPr>
                <w:rFonts w:ascii="Lato" w:hAnsi="Lato"/>
              </w:rPr>
              <w:t xml:space="preserve"> at an SR level? or does that type of usage based accounting already exist within the DCC? </w:t>
            </w:r>
          </w:p>
        </w:tc>
      </w:tr>
      <w:tr w:rsidR="00A1155F" w:rsidRPr="00B56577" w14:paraId="0B0C51BA"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0" w:type="auto"/>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0" w:type="auto"/>
            <w:vAlign w:val="center"/>
          </w:tcPr>
          <w:p w14:paraId="74375D89" w14:textId="15E38CFD" w:rsidR="00CC4CD9" w:rsidRPr="00B56577" w:rsidRDefault="00B9251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 view</w:t>
            </w:r>
          </w:p>
        </w:tc>
      </w:tr>
      <w:tr w:rsidR="00A1155F" w:rsidRPr="00B56577" w14:paraId="320DA4F1"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Q6</w:t>
            </w:r>
          </w:p>
        </w:tc>
        <w:tc>
          <w:tcPr>
            <w:tcW w:w="0" w:type="auto"/>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0" w:type="auto"/>
            <w:vAlign w:val="center"/>
          </w:tcPr>
          <w:p w14:paraId="58D8B0B8" w14:textId="7802FD23" w:rsidR="00CC4CD9" w:rsidRDefault="00B9251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we do not agree that OU charges should be differentiated as proposed. </w:t>
            </w:r>
            <w:r w:rsidR="009E4EF9">
              <w:rPr>
                <w:rFonts w:ascii="Lato" w:hAnsi="Lato"/>
              </w:rPr>
              <w:t xml:space="preserve">The only </w:t>
            </w:r>
            <w:r>
              <w:rPr>
                <w:rFonts w:ascii="Lato" w:hAnsi="Lato"/>
              </w:rPr>
              <w:t>SRs</w:t>
            </w:r>
            <w:r w:rsidR="009E4EF9">
              <w:rPr>
                <w:rFonts w:ascii="Lato" w:hAnsi="Lato"/>
              </w:rPr>
              <w:t xml:space="preserve"> that can be scheduled are for data retrieval.</w:t>
            </w:r>
            <w:r>
              <w:rPr>
                <w:rFonts w:ascii="Lato" w:hAnsi="Lato"/>
              </w:rPr>
              <w:t xml:space="preserve"> </w:t>
            </w:r>
            <w:r w:rsidR="009E4EF9">
              <w:rPr>
                <w:rFonts w:ascii="Lato" w:hAnsi="Lato"/>
              </w:rPr>
              <w:t>Multiple SRs for</w:t>
            </w:r>
            <w:r>
              <w:rPr>
                <w:rFonts w:ascii="Lato" w:hAnsi="Lato"/>
              </w:rPr>
              <w:t xml:space="preserve"> OU activity cannot be scheduled;</w:t>
            </w:r>
            <w:r w:rsidR="00BB3D5E">
              <w:rPr>
                <w:rFonts w:ascii="Lato" w:hAnsi="Lato"/>
              </w:rPr>
              <w:t xml:space="preserve"> retrieve tariff, check inventory</w:t>
            </w:r>
            <w:r w:rsidR="00807A80">
              <w:rPr>
                <w:rFonts w:ascii="Lato" w:hAnsi="Lato"/>
              </w:rPr>
              <w:t xml:space="preserve"> being examples</w:t>
            </w:r>
            <w:r w:rsidR="00BB3D5E">
              <w:rPr>
                <w:rFonts w:ascii="Lato" w:hAnsi="Lato"/>
              </w:rPr>
              <w:t>.</w:t>
            </w:r>
          </w:p>
          <w:p w14:paraId="02DB4C60" w14:textId="278FE7E9" w:rsidR="00B92514" w:rsidRPr="00B56577" w:rsidRDefault="00A1155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Please note that Clause 73 as phrased reflects the lack of understanding about the OU role and what SRs can be made. OUs can only submit a restricted set of SRs - nothing like the "over 130" referenced.</w:t>
            </w:r>
          </w:p>
        </w:tc>
      </w:tr>
      <w:tr w:rsidR="00A1155F" w:rsidRPr="00B56577" w14:paraId="42D9B660"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Q7</w:t>
            </w:r>
          </w:p>
        </w:tc>
        <w:tc>
          <w:tcPr>
            <w:tcW w:w="0" w:type="auto"/>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0" w:type="auto"/>
            <w:vAlign w:val="center"/>
          </w:tcPr>
          <w:p w14:paraId="4B562517" w14:textId="0D8A2883" w:rsidR="00CC4CD9" w:rsidRPr="00B56577" w:rsidRDefault="00A1155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No, we do not agree that OU charges should be used to reduce Core User Fixed charges. The approach will definitely be a barrier to the end consumer benefiting from novel ways to explore innovation related to energy consumption; the consultation does not acknowledge that all activity around retrieving and analysing smart meter data is still in a relatively nascent stage - how this evolves and where the actual value is in the chain is not clear at all, to any of the players in the sector. </w:t>
            </w:r>
          </w:p>
        </w:tc>
      </w:tr>
      <w:tr w:rsidR="00A1155F" w:rsidRPr="00B56577" w14:paraId="456BD11E"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Q8</w:t>
            </w:r>
          </w:p>
        </w:tc>
        <w:tc>
          <w:tcPr>
            <w:tcW w:w="0" w:type="auto"/>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0" w:type="auto"/>
            <w:vAlign w:val="center"/>
          </w:tcPr>
          <w:p w14:paraId="391CF461" w14:textId="54C4FAF8" w:rsidR="00CC4CD9" w:rsidRDefault="00A1155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See above. The assessment apparently </w:t>
            </w:r>
            <w:proofErr w:type="gramStart"/>
            <w:r>
              <w:rPr>
                <w:rFonts w:ascii="Lato" w:hAnsi="Lato"/>
              </w:rPr>
              <w:t>makes the assumption</w:t>
            </w:r>
            <w:proofErr w:type="gramEnd"/>
            <w:r>
              <w:rPr>
                <w:rFonts w:ascii="Lato" w:hAnsi="Lato"/>
              </w:rPr>
              <w:t xml:space="preserve"> that because a lot of SRs are being sent that the companies sending high numbers are profitable which is not proven. Likewise, there is a statement "This would result in some redistribution of costs from energy consumers towards end customers of Other User products, representing a more cost-reflective allocation of the benefits received by those customers" that we would challenge. </w:t>
            </w:r>
            <w:r w:rsidR="00C71C35">
              <w:rPr>
                <w:rFonts w:ascii="Lato" w:hAnsi="Lato"/>
              </w:rPr>
              <w:t>For example, tens of thousands of our customer</w:t>
            </w:r>
            <w:r w:rsidR="00807A80">
              <w:rPr>
                <w:rFonts w:ascii="Lato" w:hAnsi="Lato"/>
              </w:rPr>
              <w:t>s</w:t>
            </w:r>
            <w:r w:rsidR="00C71C35">
              <w:rPr>
                <w:rFonts w:ascii="Lato" w:hAnsi="Lato"/>
              </w:rPr>
              <w:t xml:space="preserve"> are given the data for free to encourage them to more actively engage in their energy consumption. Other customers are research institutions needing data to build and develop new analytic models and better segmentation to ensure that those in fuel poverty, for example, aren't excluded from activity to encourage adoption of flexibility. The statement assumes there is always money flowing and that </w:t>
            </w:r>
            <w:r w:rsidR="00BB3D5E">
              <w:rPr>
                <w:rFonts w:ascii="Lato" w:hAnsi="Lato"/>
              </w:rPr>
              <w:t xml:space="preserve">the service </w:t>
            </w:r>
            <w:r w:rsidR="00C71C35">
              <w:rPr>
                <w:rFonts w:ascii="Lato" w:hAnsi="Lato"/>
              </w:rPr>
              <w:t>is profitable.</w:t>
            </w:r>
          </w:p>
          <w:p w14:paraId="682DF062" w14:textId="0DB9B190" w:rsidR="00C71C35" w:rsidRPr="00B56577" w:rsidRDefault="00C71C3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It is also important to understand the nature of *why* OUs make some of the service requests we do. For example, one of our On Demand SRs is to check if the tariff has changed on a meter. This could be avoided if there was a mechanism for the supplier to </w:t>
            </w:r>
            <w:r w:rsidR="006270E5">
              <w:rPr>
                <w:rFonts w:ascii="Lato" w:hAnsi="Lato"/>
              </w:rPr>
              <w:t>notify</w:t>
            </w:r>
            <w:r>
              <w:rPr>
                <w:rFonts w:ascii="Lato" w:hAnsi="Lato"/>
              </w:rPr>
              <w:t xml:space="preserve"> other connected parties that there had been a tariff change. </w:t>
            </w:r>
            <w:r w:rsidR="009C5428">
              <w:rPr>
                <w:rFonts w:ascii="Lato" w:hAnsi="Lato"/>
              </w:rPr>
              <w:t>As another example</w:t>
            </w:r>
            <w:r w:rsidR="00BB3D5E">
              <w:rPr>
                <w:rFonts w:ascii="Lato" w:hAnsi="Lato"/>
              </w:rPr>
              <w:t>,</w:t>
            </w:r>
            <w:r w:rsidR="009C5428">
              <w:rPr>
                <w:rFonts w:ascii="Lato" w:hAnsi="Lato"/>
              </w:rPr>
              <w:t xml:space="preserve"> </w:t>
            </w:r>
            <w:r w:rsidR="009C5428" w:rsidRPr="009C5428">
              <w:rPr>
                <w:rFonts w:ascii="Lato" w:hAnsi="Lato"/>
                <w:color w:val="000000"/>
                <w:szCs w:val="22"/>
              </w:rPr>
              <w:t xml:space="preserve">on a new </w:t>
            </w:r>
            <w:r w:rsidR="00BB3D5E">
              <w:rPr>
                <w:rFonts w:ascii="Lato" w:hAnsi="Lato"/>
                <w:color w:val="000000"/>
                <w:szCs w:val="22"/>
              </w:rPr>
              <w:t xml:space="preserve">energy consumer being onboarded by </w:t>
            </w:r>
            <w:r w:rsidR="009C5428" w:rsidRPr="009C5428">
              <w:rPr>
                <w:rFonts w:ascii="Lato" w:hAnsi="Lato"/>
                <w:color w:val="000000"/>
                <w:szCs w:val="22"/>
              </w:rPr>
              <w:t xml:space="preserve">an OU, in order to </w:t>
            </w:r>
            <w:r w:rsidR="009C5428">
              <w:rPr>
                <w:rFonts w:ascii="Lato" w:hAnsi="Lato"/>
                <w:color w:val="000000"/>
                <w:szCs w:val="22"/>
              </w:rPr>
              <w:t>view current consumption in context,</w:t>
            </w:r>
            <w:r w:rsidR="009C5428" w:rsidRPr="009C5428">
              <w:rPr>
                <w:rFonts w:ascii="Lato" w:hAnsi="Lato"/>
                <w:color w:val="000000"/>
                <w:szCs w:val="22"/>
              </w:rPr>
              <w:t xml:space="preserve"> we need to retrieve 13 months of history – the SEC says you should be able to send one 4.81 for all 13 months – in practice this almost never works and some meters will send no more than 96 half hour readings – thus to get full history OUs have to send 200 on demand 4.8.1 per fuel</w:t>
            </w:r>
            <w:r w:rsidR="009C5428">
              <w:rPr>
                <w:rFonts w:ascii="Lato" w:hAnsi="Lato"/>
                <w:color w:val="000000"/>
                <w:szCs w:val="22"/>
              </w:rPr>
              <w:t xml:space="preserve"> at the point of initial onboarding.</w:t>
            </w:r>
            <w:r w:rsidR="006270E5">
              <w:rPr>
                <w:rFonts w:ascii="Lato" w:hAnsi="Lato"/>
                <w:color w:val="000000"/>
                <w:szCs w:val="22"/>
              </w:rPr>
              <w:t xml:space="preserve"> We recommend that the proposer do a much thorough job of understanding the intricacies of why SRs are </w:t>
            </w:r>
            <w:r w:rsidR="006270E5">
              <w:rPr>
                <w:rFonts w:ascii="Lato" w:hAnsi="Lato"/>
                <w:color w:val="000000"/>
                <w:szCs w:val="22"/>
              </w:rPr>
              <w:lastRenderedPageBreak/>
              <w:t>made and with what impact; there may be other approaches to address the underlying challenge described.</w:t>
            </w:r>
          </w:p>
        </w:tc>
      </w:tr>
      <w:tr w:rsidR="00A1155F" w:rsidRPr="00B56577" w14:paraId="19AAFE64" w14:textId="77777777" w:rsidTr="00133633">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Q9</w:t>
            </w:r>
          </w:p>
        </w:tc>
        <w:tc>
          <w:tcPr>
            <w:tcW w:w="0" w:type="auto"/>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0" w:type="auto"/>
            <w:vAlign w:val="center"/>
          </w:tcPr>
          <w:p w14:paraId="6C8A88B2" w14:textId="24929016" w:rsidR="00CC4CD9" w:rsidRPr="00B56577" w:rsidRDefault="00C71C35"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There is not enough information provided to understand how this would be administrated and merits a separate consultation.</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316C" w14:textId="77777777" w:rsidR="009101F0" w:rsidRDefault="009101F0" w:rsidP="00FA568E">
      <w:pPr>
        <w:spacing w:after="0"/>
      </w:pPr>
      <w:r>
        <w:separator/>
      </w:r>
    </w:p>
  </w:endnote>
  <w:endnote w:type="continuationSeparator" w:id="0">
    <w:p w14:paraId="0C158051" w14:textId="77777777" w:rsidR="009101F0" w:rsidRDefault="009101F0" w:rsidP="00FA568E">
      <w:pPr>
        <w:spacing w:after="0"/>
      </w:pPr>
      <w:r>
        <w:continuationSeparator/>
      </w:r>
    </w:p>
  </w:endnote>
  <w:endnote w:type="continuationNotice" w:id="1">
    <w:p w14:paraId="01013A95" w14:textId="77777777" w:rsidR="009101F0" w:rsidRDefault="009101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Rounded MT Bold">
    <w:panose1 w:val="020F0704030504030204"/>
    <w:charset w:val="4D"/>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9311" w14:textId="77777777" w:rsidR="009101F0" w:rsidRDefault="009101F0" w:rsidP="00FA568E">
      <w:pPr>
        <w:spacing w:after="0"/>
      </w:pPr>
      <w:r>
        <w:separator/>
      </w:r>
    </w:p>
  </w:footnote>
  <w:footnote w:type="continuationSeparator" w:id="0">
    <w:p w14:paraId="40105666" w14:textId="77777777" w:rsidR="009101F0" w:rsidRDefault="009101F0" w:rsidP="00FA568E">
      <w:pPr>
        <w:spacing w:after="0"/>
      </w:pPr>
      <w:r>
        <w:continuationSeparator/>
      </w:r>
    </w:p>
  </w:footnote>
  <w:footnote w:type="continuationNotice" w:id="1">
    <w:p w14:paraId="292C52B3" w14:textId="77777777" w:rsidR="009101F0" w:rsidRDefault="009101F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0"/>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2"/>
  </w:num>
  <w:num w:numId="32" w16cid:durableId="688145661">
    <w:abstractNumId w:val="5"/>
  </w:num>
  <w:num w:numId="33" w16cid:durableId="1035077202">
    <w:abstractNumId w:val="18"/>
  </w:num>
  <w:num w:numId="34" w16cid:durableId="513805101">
    <w:abstractNumId w:val="31"/>
  </w:num>
  <w:num w:numId="35" w16cid:durableId="833491217">
    <w:abstractNumId w:val="30"/>
  </w:num>
  <w:num w:numId="36" w16cid:durableId="1313607884">
    <w:abstractNumId w:val="30"/>
  </w:num>
  <w:num w:numId="37" w16cid:durableId="1092973961">
    <w:abstractNumId w:val="30"/>
  </w:num>
  <w:num w:numId="38" w16cid:durableId="188987181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C64"/>
    <w:rsid w:val="000431FA"/>
    <w:rsid w:val="00043637"/>
    <w:rsid w:val="00044E8C"/>
    <w:rsid w:val="000530A4"/>
    <w:rsid w:val="00055BB5"/>
    <w:rsid w:val="00056367"/>
    <w:rsid w:val="00056889"/>
    <w:rsid w:val="000574A0"/>
    <w:rsid w:val="00062D5C"/>
    <w:rsid w:val="00064A57"/>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C57"/>
    <w:rsid w:val="000D626B"/>
    <w:rsid w:val="000D7209"/>
    <w:rsid w:val="000D7ACA"/>
    <w:rsid w:val="000E100A"/>
    <w:rsid w:val="000E190B"/>
    <w:rsid w:val="000E335D"/>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60C3"/>
    <w:rsid w:val="001A657A"/>
    <w:rsid w:val="001A66A7"/>
    <w:rsid w:val="001A6D5B"/>
    <w:rsid w:val="001A7700"/>
    <w:rsid w:val="001B0F68"/>
    <w:rsid w:val="001B0FC8"/>
    <w:rsid w:val="001B19F6"/>
    <w:rsid w:val="001B1AC0"/>
    <w:rsid w:val="001B2AE7"/>
    <w:rsid w:val="001B2FAE"/>
    <w:rsid w:val="001B5CEE"/>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906"/>
    <w:rsid w:val="00276C39"/>
    <w:rsid w:val="00281673"/>
    <w:rsid w:val="002824C6"/>
    <w:rsid w:val="00282A5F"/>
    <w:rsid w:val="00282E4F"/>
    <w:rsid w:val="00285B51"/>
    <w:rsid w:val="00286CF5"/>
    <w:rsid w:val="00287479"/>
    <w:rsid w:val="00290158"/>
    <w:rsid w:val="00291741"/>
    <w:rsid w:val="002931B8"/>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4E04"/>
    <w:rsid w:val="002F7E81"/>
    <w:rsid w:val="00300A68"/>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456"/>
    <w:rsid w:val="00347A8F"/>
    <w:rsid w:val="00350615"/>
    <w:rsid w:val="00350707"/>
    <w:rsid w:val="00350A9A"/>
    <w:rsid w:val="00351134"/>
    <w:rsid w:val="00351685"/>
    <w:rsid w:val="003536E3"/>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9FB"/>
    <w:rsid w:val="004122B8"/>
    <w:rsid w:val="00412369"/>
    <w:rsid w:val="004126FA"/>
    <w:rsid w:val="00412A22"/>
    <w:rsid w:val="00413255"/>
    <w:rsid w:val="00415690"/>
    <w:rsid w:val="00415696"/>
    <w:rsid w:val="0041569B"/>
    <w:rsid w:val="00422846"/>
    <w:rsid w:val="00422DE0"/>
    <w:rsid w:val="00422EF3"/>
    <w:rsid w:val="00423A1D"/>
    <w:rsid w:val="0042418F"/>
    <w:rsid w:val="00424B53"/>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10AB"/>
    <w:rsid w:val="00541145"/>
    <w:rsid w:val="00541A5B"/>
    <w:rsid w:val="00541C5D"/>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F0024"/>
    <w:rsid w:val="005F2A47"/>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270E5"/>
    <w:rsid w:val="0063087F"/>
    <w:rsid w:val="00630A9B"/>
    <w:rsid w:val="00631C2A"/>
    <w:rsid w:val="00631CF4"/>
    <w:rsid w:val="0063371A"/>
    <w:rsid w:val="006374E9"/>
    <w:rsid w:val="00642AF2"/>
    <w:rsid w:val="00644598"/>
    <w:rsid w:val="00644A88"/>
    <w:rsid w:val="006469EB"/>
    <w:rsid w:val="00647DE9"/>
    <w:rsid w:val="00650BAD"/>
    <w:rsid w:val="00650D99"/>
    <w:rsid w:val="00650F48"/>
    <w:rsid w:val="0065146C"/>
    <w:rsid w:val="00651784"/>
    <w:rsid w:val="00652BE8"/>
    <w:rsid w:val="006536B3"/>
    <w:rsid w:val="006540A8"/>
    <w:rsid w:val="00654CB7"/>
    <w:rsid w:val="00655912"/>
    <w:rsid w:val="00656DA2"/>
    <w:rsid w:val="00657B27"/>
    <w:rsid w:val="00662C89"/>
    <w:rsid w:val="00662DE7"/>
    <w:rsid w:val="00662ED1"/>
    <w:rsid w:val="00663742"/>
    <w:rsid w:val="00665106"/>
    <w:rsid w:val="006672D3"/>
    <w:rsid w:val="00671D44"/>
    <w:rsid w:val="006724B5"/>
    <w:rsid w:val="00673396"/>
    <w:rsid w:val="006734C3"/>
    <w:rsid w:val="00673928"/>
    <w:rsid w:val="00673B5A"/>
    <w:rsid w:val="00673EEB"/>
    <w:rsid w:val="006741BE"/>
    <w:rsid w:val="0067478E"/>
    <w:rsid w:val="00674D62"/>
    <w:rsid w:val="006757B9"/>
    <w:rsid w:val="00676777"/>
    <w:rsid w:val="00676C2B"/>
    <w:rsid w:val="00676FA3"/>
    <w:rsid w:val="00677316"/>
    <w:rsid w:val="00677DEA"/>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28F"/>
    <w:rsid w:val="006A2043"/>
    <w:rsid w:val="006A2341"/>
    <w:rsid w:val="006A23DA"/>
    <w:rsid w:val="006A28D5"/>
    <w:rsid w:val="006A2F3E"/>
    <w:rsid w:val="006A3289"/>
    <w:rsid w:val="006A3933"/>
    <w:rsid w:val="006A4E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D9"/>
    <w:rsid w:val="00714998"/>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840"/>
    <w:rsid w:val="008014A3"/>
    <w:rsid w:val="00802E7F"/>
    <w:rsid w:val="0080336B"/>
    <w:rsid w:val="00803D6C"/>
    <w:rsid w:val="00804B17"/>
    <w:rsid w:val="00805669"/>
    <w:rsid w:val="00807A80"/>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3CF0"/>
    <w:rsid w:val="008249DC"/>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E20C6"/>
    <w:rsid w:val="008E25C6"/>
    <w:rsid w:val="008E3102"/>
    <w:rsid w:val="008E472A"/>
    <w:rsid w:val="008E4840"/>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53AC"/>
    <w:rsid w:val="00906B50"/>
    <w:rsid w:val="0090703A"/>
    <w:rsid w:val="0090784F"/>
    <w:rsid w:val="00907CAA"/>
    <w:rsid w:val="009101F0"/>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7A77"/>
    <w:rsid w:val="009406D7"/>
    <w:rsid w:val="00942787"/>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D4F"/>
    <w:rsid w:val="00963E77"/>
    <w:rsid w:val="009642E5"/>
    <w:rsid w:val="00965ADC"/>
    <w:rsid w:val="009660C1"/>
    <w:rsid w:val="00967ED8"/>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5FDB"/>
    <w:rsid w:val="00996848"/>
    <w:rsid w:val="00997516"/>
    <w:rsid w:val="009A1BBD"/>
    <w:rsid w:val="009A2EB3"/>
    <w:rsid w:val="009A4306"/>
    <w:rsid w:val="009A77C8"/>
    <w:rsid w:val="009A7B67"/>
    <w:rsid w:val="009A7FCE"/>
    <w:rsid w:val="009B3148"/>
    <w:rsid w:val="009B57B4"/>
    <w:rsid w:val="009B5EC7"/>
    <w:rsid w:val="009B7111"/>
    <w:rsid w:val="009C111C"/>
    <w:rsid w:val="009C2F78"/>
    <w:rsid w:val="009C335B"/>
    <w:rsid w:val="009C3D84"/>
    <w:rsid w:val="009C5345"/>
    <w:rsid w:val="009C5428"/>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4EF9"/>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55E4"/>
    <w:rsid w:val="00A06F8A"/>
    <w:rsid w:val="00A073F1"/>
    <w:rsid w:val="00A07E5B"/>
    <w:rsid w:val="00A110C7"/>
    <w:rsid w:val="00A1155F"/>
    <w:rsid w:val="00A11CA5"/>
    <w:rsid w:val="00A123C9"/>
    <w:rsid w:val="00A13615"/>
    <w:rsid w:val="00A13730"/>
    <w:rsid w:val="00A139EB"/>
    <w:rsid w:val="00A13C51"/>
    <w:rsid w:val="00A145E8"/>
    <w:rsid w:val="00A1499A"/>
    <w:rsid w:val="00A15DEA"/>
    <w:rsid w:val="00A2046E"/>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4C7F"/>
    <w:rsid w:val="00A452C7"/>
    <w:rsid w:val="00A45339"/>
    <w:rsid w:val="00A464ED"/>
    <w:rsid w:val="00A46BC8"/>
    <w:rsid w:val="00A47AF8"/>
    <w:rsid w:val="00A50084"/>
    <w:rsid w:val="00A502C4"/>
    <w:rsid w:val="00A506FE"/>
    <w:rsid w:val="00A507CF"/>
    <w:rsid w:val="00A510D5"/>
    <w:rsid w:val="00A51490"/>
    <w:rsid w:val="00A5305D"/>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2F82"/>
    <w:rsid w:val="00A94C54"/>
    <w:rsid w:val="00A95E22"/>
    <w:rsid w:val="00A9763E"/>
    <w:rsid w:val="00AA16A9"/>
    <w:rsid w:val="00AA46DD"/>
    <w:rsid w:val="00AA4869"/>
    <w:rsid w:val="00AA7448"/>
    <w:rsid w:val="00AA7A58"/>
    <w:rsid w:val="00AA7EDE"/>
    <w:rsid w:val="00AA7FBF"/>
    <w:rsid w:val="00AB1575"/>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2F4C"/>
    <w:rsid w:val="00AD31D7"/>
    <w:rsid w:val="00AD444A"/>
    <w:rsid w:val="00AD64AE"/>
    <w:rsid w:val="00AD7B1E"/>
    <w:rsid w:val="00AD7FCE"/>
    <w:rsid w:val="00AE0063"/>
    <w:rsid w:val="00AE01F2"/>
    <w:rsid w:val="00AE0F07"/>
    <w:rsid w:val="00AE194C"/>
    <w:rsid w:val="00AE328D"/>
    <w:rsid w:val="00AE3BE2"/>
    <w:rsid w:val="00AE40A1"/>
    <w:rsid w:val="00AE4930"/>
    <w:rsid w:val="00AE4F88"/>
    <w:rsid w:val="00AE570D"/>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5398"/>
    <w:rsid w:val="00B35B52"/>
    <w:rsid w:val="00B36799"/>
    <w:rsid w:val="00B36F5A"/>
    <w:rsid w:val="00B42EDB"/>
    <w:rsid w:val="00B44403"/>
    <w:rsid w:val="00B449D6"/>
    <w:rsid w:val="00B458FE"/>
    <w:rsid w:val="00B45C73"/>
    <w:rsid w:val="00B45E0D"/>
    <w:rsid w:val="00B475D5"/>
    <w:rsid w:val="00B4780D"/>
    <w:rsid w:val="00B50B92"/>
    <w:rsid w:val="00B51605"/>
    <w:rsid w:val="00B51E7E"/>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90E83"/>
    <w:rsid w:val="00B9188C"/>
    <w:rsid w:val="00B91908"/>
    <w:rsid w:val="00B92514"/>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3D5E"/>
    <w:rsid w:val="00BB5A74"/>
    <w:rsid w:val="00BB67F3"/>
    <w:rsid w:val="00BC1C0B"/>
    <w:rsid w:val="00BC407B"/>
    <w:rsid w:val="00BC4391"/>
    <w:rsid w:val="00BC6DEA"/>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5AA7"/>
    <w:rsid w:val="00C166FF"/>
    <w:rsid w:val="00C16C45"/>
    <w:rsid w:val="00C16D18"/>
    <w:rsid w:val="00C17005"/>
    <w:rsid w:val="00C21633"/>
    <w:rsid w:val="00C2220D"/>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A3"/>
    <w:rsid w:val="00C6548B"/>
    <w:rsid w:val="00C66828"/>
    <w:rsid w:val="00C66A1C"/>
    <w:rsid w:val="00C70148"/>
    <w:rsid w:val="00C70274"/>
    <w:rsid w:val="00C70472"/>
    <w:rsid w:val="00C71832"/>
    <w:rsid w:val="00C71C35"/>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F6A"/>
    <w:rsid w:val="00C9492B"/>
    <w:rsid w:val="00C95BD8"/>
    <w:rsid w:val="00C95CAE"/>
    <w:rsid w:val="00C96081"/>
    <w:rsid w:val="00C97578"/>
    <w:rsid w:val="00C97961"/>
    <w:rsid w:val="00C97EA8"/>
    <w:rsid w:val="00CA03F5"/>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CD9"/>
    <w:rsid w:val="00CC4DD8"/>
    <w:rsid w:val="00CC6421"/>
    <w:rsid w:val="00CD25AF"/>
    <w:rsid w:val="00CD2C22"/>
    <w:rsid w:val="00CD32D6"/>
    <w:rsid w:val="00CD41D0"/>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BD6"/>
    <w:rsid w:val="00D04F75"/>
    <w:rsid w:val="00D06725"/>
    <w:rsid w:val="00D0710A"/>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57926"/>
    <w:rsid w:val="00D608ED"/>
    <w:rsid w:val="00D610B1"/>
    <w:rsid w:val="00D6295A"/>
    <w:rsid w:val="00D6429C"/>
    <w:rsid w:val="00D64E62"/>
    <w:rsid w:val="00D664BE"/>
    <w:rsid w:val="00D71ABE"/>
    <w:rsid w:val="00D720AC"/>
    <w:rsid w:val="00D7327A"/>
    <w:rsid w:val="00D75255"/>
    <w:rsid w:val="00D7572F"/>
    <w:rsid w:val="00D76BF5"/>
    <w:rsid w:val="00D76E90"/>
    <w:rsid w:val="00D77C26"/>
    <w:rsid w:val="00D77C8E"/>
    <w:rsid w:val="00D77E73"/>
    <w:rsid w:val="00D818E0"/>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4576"/>
    <w:rsid w:val="00E2478E"/>
    <w:rsid w:val="00E2492C"/>
    <w:rsid w:val="00E24B38"/>
    <w:rsid w:val="00E25501"/>
    <w:rsid w:val="00E25690"/>
    <w:rsid w:val="00E25EB6"/>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60E5"/>
    <w:rsid w:val="00E77033"/>
    <w:rsid w:val="00E8084B"/>
    <w:rsid w:val="00E81726"/>
    <w:rsid w:val="00E81E49"/>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6381"/>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E077A"/>
    <w:rsid w:val="00EE115B"/>
    <w:rsid w:val="00EE231F"/>
    <w:rsid w:val="00EE23C3"/>
    <w:rsid w:val="00EE3462"/>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5DAC"/>
    <w:rsid w:val="00F16583"/>
    <w:rsid w:val="00F206DE"/>
    <w:rsid w:val="00F20C69"/>
    <w:rsid w:val="00F21B3A"/>
    <w:rsid w:val="00F22C85"/>
    <w:rsid w:val="00F22F28"/>
    <w:rsid w:val="00F2309D"/>
    <w:rsid w:val="00F239C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236"/>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F4C"/>
    <w:rsid w:val="00F746CA"/>
    <w:rsid w:val="00F74FF9"/>
    <w:rsid w:val="00F755E3"/>
    <w:rsid w:val="00F75EB9"/>
    <w:rsid w:val="00F76E3E"/>
    <w:rsid w:val="00F773BD"/>
    <w:rsid w:val="00F77892"/>
    <w:rsid w:val="00F806FF"/>
    <w:rsid w:val="00F80CD1"/>
    <w:rsid w:val="00F824D5"/>
    <w:rsid w:val="00F8486D"/>
    <w:rsid w:val="00F8524C"/>
    <w:rsid w:val="00F85DCE"/>
    <w:rsid w:val="00F86380"/>
    <w:rsid w:val="00F872D6"/>
    <w:rsid w:val="00F9009E"/>
    <w:rsid w:val="00F90674"/>
    <w:rsid w:val="00F90A1C"/>
    <w:rsid w:val="00F91ECA"/>
    <w:rsid w:val="00F923F0"/>
    <w:rsid w:val="00F95202"/>
    <w:rsid w:val="00F96755"/>
    <w:rsid w:val="00F967E5"/>
    <w:rsid w:val="00F97D36"/>
    <w:rsid w:val="00FA0866"/>
    <w:rsid w:val="00FA0BE7"/>
    <w:rsid w:val="00FA11F5"/>
    <w:rsid w:val="00FA3373"/>
    <w:rsid w:val="00FA36F4"/>
    <w:rsid w:val="00FA486B"/>
    <w:rsid w:val="00FA568E"/>
    <w:rsid w:val="00FA5A69"/>
    <w:rsid w:val="00FA655C"/>
    <w:rsid w:val="00FB006D"/>
    <w:rsid w:val="00FB181A"/>
    <w:rsid w:val="00FB1BCF"/>
    <w:rsid w:val="00FB21AF"/>
    <w:rsid w:val="00FB26A2"/>
    <w:rsid w:val="00FB28BF"/>
    <w:rsid w:val="00FB2D87"/>
    <w:rsid w:val="00FB39A3"/>
    <w:rsid w:val="00FB3A2B"/>
    <w:rsid w:val="00FB41B0"/>
    <w:rsid w:val="00FB6151"/>
    <w:rsid w:val="00FB6299"/>
    <w:rsid w:val="00FB6BCE"/>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213"/>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NDYQVYFD76VK-1947674797-395</_dlc_DocId>
    <_dlc_DocIdUrl xmlns="a506c0bb-1327-4a28-8c99-5f231145fa20">
      <Url>https://smartdcc.sharepoint.com/sites/DCCChargingReview/_layouts/15/DocIdRedir.aspx?ID=NDYQVYFD76VK-1947674797-395</Url>
      <Description>NDYQVYFD76VK-1947674797-395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3.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5.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2025-02-04T09:47:00Z</dcterms:created>
  <dcterms:modified xsi:type="dcterms:W3CDTF">2025-02-04T10:56:00Z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8912eda0-f5c2-4f6e-87ff-29a72d60ff1c</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